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AC" w:rsidRPr="00CC4B49" w:rsidRDefault="00427DA3" w:rsidP="00E27EAC">
      <w:pPr>
        <w:ind w:left="-567"/>
        <w:jc w:val="center"/>
        <w:rPr>
          <w:rFonts w:ascii="Times New Roman" w:hAnsi="Times New Roman" w:cs="Times New Roman"/>
          <w:b/>
          <w:sz w:val="28"/>
          <w:szCs w:val="28"/>
        </w:rPr>
      </w:pPr>
      <w:r w:rsidRPr="00CC4B49">
        <w:rPr>
          <w:rFonts w:ascii="Times New Roman" w:hAnsi="Times New Roman" w:cs="Times New Roman"/>
          <w:b/>
          <w:sz w:val="28"/>
          <w:szCs w:val="28"/>
        </w:rPr>
        <w:t xml:space="preserve">Учебный план программы </w:t>
      </w:r>
    </w:p>
    <w:p w:rsidR="00E27EAC" w:rsidRPr="00E27EAC" w:rsidRDefault="00A55E71" w:rsidP="005C67D9">
      <w:pPr>
        <w:shd w:val="clear" w:color="auto" w:fill="FFFFFF"/>
        <w:spacing w:after="180" w:line="240" w:lineRule="auto"/>
        <w:jc w:val="center"/>
        <w:textAlignment w:val="baseline"/>
        <w:outlineLvl w:val="0"/>
        <w:rPr>
          <w:rFonts w:ascii="Open Sans" w:eastAsia="Times New Roman" w:hAnsi="Open Sans" w:cs="Times New Roman"/>
          <w:color w:val="27272A"/>
          <w:kern w:val="36"/>
          <w:sz w:val="48"/>
          <w:szCs w:val="48"/>
          <w:lang w:eastAsia="ru-RU"/>
        </w:rPr>
      </w:pPr>
      <w:r w:rsidRPr="00A55E71">
        <w:rPr>
          <w:rFonts w:ascii="Open Sans" w:eastAsia="Times New Roman" w:hAnsi="Open Sans" w:cs="Times New Roman"/>
          <w:color w:val="27272A"/>
          <w:kern w:val="36"/>
          <w:sz w:val="48"/>
          <w:szCs w:val="48"/>
          <w:lang w:eastAsia="ru-RU"/>
        </w:rPr>
        <w:t xml:space="preserve">Б.8.1. Подготовка к аттестации ответственных за эксплуатацию котлов (паровых, водогрейных, с органическими и неорганическими теплоносителями) на опасных производственных объектах </w:t>
      </w:r>
      <w:r w:rsidR="0091755B" w:rsidRPr="0091755B">
        <w:rPr>
          <w:rFonts w:ascii="Open Sans" w:eastAsia="Times New Roman" w:hAnsi="Open Sans" w:cs="Times New Roman"/>
          <w:color w:val="27272A"/>
          <w:kern w:val="36"/>
          <w:sz w:val="48"/>
          <w:szCs w:val="48"/>
          <w:lang w:eastAsia="ru-RU"/>
        </w:rPr>
        <w:cr/>
      </w:r>
    </w:p>
    <w:tbl>
      <w:tblPr>
        <w:tblStyle w:val="a3"/>
        <w:tblW w:w="11367" w:type="dxa"/>
        <w:tblInd w:w="-567" w:type="dxa"/>
        <w:tblLook w:val="04A0" w:firstRow="1" w:lastRow="0" w:firstColumn="1" w:lastColumn="0" w:noHBand="0" w:noVBand="1"/>
      </w:tblPr>
      <w:tblGrid>
        <w:gridCol w:w="974"/>
        <w:gridCol w:w="3091"/>
        <w:gridCol w:w="1260"/>
        <w:gridCol w:w="1374"/>
        <w:gridCol w:w="1949"/>
        <w:gridCol w:w="1428"/>
        <w:gridCol w:w="1291"/>
      </w:tblGrid>
      <w:tr w:rsidR="004A2D60" w:rsidTr="00F11C38">
        <w:trPr>
          <w:gridAfter w:val="1"/>
          <w:wAfter w:w="1291" w:type="dxa"/>
        </w:trPr>
        <w:tc>
          <w:tcPr>
            <w:tcW w:w="974" w:type="dxa"/>
            <w:vMerge w:val="restart"/>
          </w:tcPr>
          <w:p w:rsidR="00E27EAC" w:rsidRDefault="00E27EAC" w:rsidP="00E27EAC">
            <w:pPr>
              <w:jc w:val="center"/>
              <w:rPr>
                <w:rFonts w:ascii="Times New Roman" w:hAnsi="Times New Roman" w:cs="Times New Roman"/>
                <w:b/>
                <w:sz w:val="24"/>
                <w:szCs w:val="24"/>
              </w:rPr>
            </w:pPr>
            <w:r>
              <w:rPr>
                <w:rFonts w:ascii="Times New Roman" w:hAnsi="Times New Roman" w:cs="Times New Roman"/>
                <w:b/>
                <w:sz w:val="24"/>
                <w:szCs w:val="24"/>
              </w:rPr>
              <w:t>№п/п</w:t>
            </w:r>
          </w:p>
        </w:tc>
        <w:tc>
          <w:tcPr>
            <w:tcW w:w="3091" w:type="dxa"/>
            <w:vMerge w:val="restart"/>
          </w:tcPr>
          <w:p w:rsidR="00E27EAC" w:rsidRDefault="00E27EAC" w:rsidP="00E27EAC">
            <w:pPr>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дисциплин</w:t>
            </w:r>
          </w:p>
        </w:tc>
        <w:tc>
          <w:tcPr>
            <w:tcW w:w="1260" w:type="dxa"/>
            <w:vMerge w:val="restart"/>
          </w:tcPr>
          <w:p w:rsidR="00E27EAC" w:rsidRDefault="00E27EAC" w:rsidP="00E27EAC">
            <w:pPr>
              <w:jc w:val="center"/>
              <w:rPr>
                <w:rFonts w:ascii="Times New Roman" w:hAnsi="Times New Roman" w:cs="Times New Roman"/>
                <w:b/>
                <w:sz w:val="24"/>
                <w:szCs w:val="24"/>
              </w:rPr>
            </w:pPr>
            <w:r>
              <w:rPr>
                <w:rFonts w:ascii="Times New Roman" w:hAnsi="Times New Roman" w:cs="Times New Roman"/>
                <w:b/>
                <w:sz w:val="24"/>
                <w:szCs w:val="24"/>
              </w:rPr>
              <w:t>Всего часов</w:t>
            </w:r>
          </w:p>
        </w:tc>
        <w:tc>
          <w:tcPr>
            <w:tcW w:w="3323" w:type="dxa"/>
            <w:gridSpan w:val="2"/>
          </w:tcPr>
          <w:p w:rsidR="00E27EAC" w:rsidRDefault="00E27EAC" w:rsidP="00E27EAC">
            <w:pPr>
              <w:jc w:val="center"/>
              <w:rPr>
                <w:rFonts w:ascii="Times New Roman" w:hAnsi="Times New Roman" w:cs="Times New Roman"/>
                <w:b/>
                <w:sz w:val="24"/>
                <w:szCs w:val="24"/>
              </w:rPr>
            </w:pPr>
            <w:r>
              <w:rPr>
                <w:rFonts w:ascii="Times New Roman" w:hAnsi="Times New Roman" w:cs="Times New Roman"/>
                <w:b/>
                <w:sz w:val="24"/>
                <w:szCs w:val="24"/>
              </w:rPr>
              <w:t>В том числе</w:t>
            </w:r>
          </w:p>
        </w:tc>
        <w:tc>
          <w:tcPr>
            <w:tcW w:w="1428" w:type="dxa"/>
            <w:vMerge w:val="restart"/>
          </w:tcPr>
          <w:p w:rsidR="00E27EAC" w:rsidRDefault="00E27EAC" w:rsidP="00E27EAC">
            <w:pPr>
              <w:jc w:val="center"/>
              <w:rPr>
                <w:rFonts w:ascii="Times New Roman" w:hAnsi="Times New Roman" w:cs="Times New Roman"/>
                <w:b/>
                <w:sz w:val="24"/>
                <w:szCs w:val="24"/>
              </w:rPr>
            </w:pPr>
            <w:r>
              <w:rPr>
                <w:rFonts w:ascii="Times New Roman" w:hAnsi="Times New Roman" w:cs="Times New Roman"/>
                <w:b/>
                <w:sz w:val="24"/>
                <w:szCs w:val="24"/>
              </w:rPr>
              <w:t>Форма контроля</w:t>
            </w:r>
          </w:p>
        </w:tc>
      </w:tr>
      <w:tr w:rsidR="004A2D60" w:rsidTr="00F11C38">
        <w:trPr>
          <w:gridAfter w:val="1"/>
          <w:wAfter w:w="1291" w:type="dxa"/>
          <w:trHeight w:val="818"/>
        </w:trPr>
        <w:tc>
          <w:tcPr>
            <w:tcW w:w="974" w:type="dxa"/>
            <w:vMerge/>
          </w:tcPr>
          <w:p w:rsidR="00E27EAC" w:rsidRDefault="00E27EAC" w:rsidP="00E27EAC">
            <w:pPr>
              <w:jc w:val="center"/>
              <w:rPr>
                <w:rFonts w:ascii="Times New Roman" w:hAnsi="Times New Roman" w:cs="Times New Roman"/>
                <w:b/>
                <w:sz w:val="24"/>
                <w:szCs w:val="24"/>
              </w:rPr>
            </w:pPr>
          </w:p>
        </w:tc>
        <w:tc>
          <w:tcPr>
            <w:tcW w:w="3091" w:type="dxa"/>
            <w:vMerge/>
          </w:tcPr>
          <w:p w:rsidR="00E27EAC" w:rsidRDefault="00E27EAC" w:rsidP="00E27EAC">
            <w:pPr>
              <w:jc w:val="center"/>
              <w:rPr>
                <w:rFonts w:ascii="Times New Roman" w:hAnsi="Times New Roman" w:cs="Times New Roman"/>
                <w:b/>
                <w:sz w:val="24"/>
                <w:szCs w:val="24"/>
              </w:rPr>
            </w:pPr>
          </w:p>
        </w:tc>
        <w:tc>
          <w:tcPr>
            <w:tcW w:w="1260" w:type="dxa"/>
            <w:vMerge/>
          </w:tcPr>
          <w:p w:rsidR="00E27EAC" w:rsidRDefault="00E27EAC" w:rsidP="00E27EAC">
            <w:pPr>
              <w:jc w:val="center"/>
              <w:rPr>
                <w:rFonts w:ascii="Times New Roman" w:hAnsi="Times New Roman" w:cs="Times New Roman"/>
                <w:b/>
                <w:sz w:val="24"/>
                <w:szCs w:val="24"/>
              </w:rPr>
            </w:pPr>
          </w:p>
        </w:tc>
        <w:tc>
          <w:tcPr>
            <w:tcW w:w="1374" w:type="dxa"/>
          </w:tcPr>
          <w:p w:rsidR="00E27EAC" w:rsidRDefault="00A160CE" w:rsidP="00E27EAC">
            <w:pPr>
              <w:jc w:val="center"/>
              <w:rPr>
                <w:rFonts w:ascii="Times New Roman" w:hAnsi="Times New Roman" w:cs="Times New Roman"/>
                <w:b/>
                <w:sz w:val="24"/>
                <w:szCs w:val="24"/>
              </w:rPr>
            </w:pPr>
            <w:r>
              <w:rPr>
                <w:rFonts w:ascii="Times New Roman" w:hAnsi="Times New Roman" w:cs="Times New Roman"/>
                <w:b/>
                <w:sz w:val="24"/>
                <w:szCs w:val="24"/>
              </w:rPr>
              <w:t>Лекции</w:t>
            </w:r>
          </w:p>
        </w:tc>
        <w:tc>
          <w:tcPr>
            <w:tcW w:w="1949" w:type="dxa"/>
          </w:tcPr>
          <w:p w:rsidR="00E27EAC" w:rsidRDefault="00F13857" w:rsidP="00E27EAC">
            <w:pPr>
              <w:jc w:val="center"/>
              <w:rPr>
                <w:rFonts w:ascii="Times New Roman" w:hAnsi="Times New Roman" w:cs="Times New Roman"/>
                <w:b/>
                <w:sz w:val="24"/>
                <w:szCs w:val="24"/>
              </w:rPr>
            </w:pPr>
            <w:r>
              <w:rPr>
                <w:rFonts w:ascii="Times New Roman" w:hAnsi="Times New Roman" w:cs="Times New Roman"/>
                <w:b/>
                <w:sz w:val="24"/>
                <w:szCs w:val="24"/>
              </w:rPr>
              <w:t>Практические занятия</w:t>
            </w:r>
            <w:r w:rsidR="00EA2A55">
              <w:rPr>
                <w:rFonts w:ascii="Times New Roman" w:hAnsi="Times New Roman" w:cs="Times New Roman"/>
                <w:b/>
                <w:sz w:val="24"/>
                <w:szCs w:val="24"/>
              </w:rPr>
              <w:t>. СДО</w:t>
            </w:r>
          </w:p>
        </w:tc>
        <w:tc>
          <w:tcPr>
            <w:tcW w:w="1428" w:type="dxa"/>
            <w:vMerge/>
          </w:tcPr>
          <w:p w:rsidR="00E27EAC" w:rsidRDefault="00E27EAC" w:rsidP="00E27EAC">
            <w:pPr>
              <w:jc w:val="center"/>
              <w:rPr>
                <w:rFonts w:ascii="Times New Roman" w:hAnsi="Times New Roman" w:cs="Times New Roman"/>
                <w:b/>
                <w:sz w:val="24"/>
                <w:szCs w:val="24"/>
              </w:rPr>
            </w:pPr>
          </w:p>
        </w:tc>
      </w:tr>
      <w:tr w:rsidR="00F10480" w:rsidTr="00F11C38">
        <w:trPr>
          <w:gridAfter w:val="1"/>
          <w:wAfter w:w="1291" w:type="dxa"/>
        </w:trPr>
        <w:tc>
          <w:tcPr>
            <w:tcW w:w="974" w:type="dxa"/>
          </w:tcPr>
          <w:p w:rsidR="00F10480" w:rsidRPr="006C1A09" w:rsidRDefault="00F10480" w:rsidP="00C123FE">
            <w:pPr>
              <w:ind w:left="397"/>
              <w:jc w:val="center"/>
              <w:rPr>
                <w:rFonts w:ascii="Times New Roman" w:hAnsi="Times New Roman" w:cs="Times New Roman"/>
                <w:b/>
                <w:sz w:val="24"/>
                <w:szCs w:val="24"/>
              </w:rPr>
            </w:pPr>
            <w:r>
              <w:rPr>
                <w:rFonts w:ascii="Times New Roman" w:hAnsi="Times New Roman" w:cs="Times New Roman"/>
                <w:b/>
                <w:sz w:val="24"/>
                <w:szCs w:val="24"/>
              </w:rPr>
              <w:t>1.</w:t>
            </w:r>
          </w:p>
        </w:tc>
        <w:tc>
          <w:tcPr>
            <w:tcW w:w="7674" w:type="dxa"/>
            <w:gridSpan w:val="4"/>
          </w:tcPr>
          <w:p w:rsidR="00F10480" w:rsidRDefault="00F10480" w:rsidP="0073292A">
            <w:pPr>
              <w:jc w:val="center"/>
              <w:rPr>
                <w:rFonts w:ascii="Times New Roman" w:hAnsi="Times New Roman" w:cs="Times New Roman"/>
                <w:b/>
                <w:sz w:val="24"/>
                <w:szCs w:val="24"/>
              </w:rPr>
            </w:pPr>
            <w:r w:rsidRPr="00C123FE">
              <w:rPr>
                <w:rFonts w:ascii="Times New Roman" w:hAnsi="Times New Roman" w:cs="Times New Roman"/>
                <w:sz w:val="24"/>
                <w:szCs w:val="24"/>
              </w:rPr>
              <w:t>Тема 1</w:t>
            </w:r>
            <w:r>
              <w:rPr>
                <w:rFonts w:ascii="Times New Roman" w:hAnsi="Times New Roman" w:cs="Times New Roman"/>
                <w:sz w:val="24"/>
                <w:szCs w:val="24"/>
              </w:rPr>
              <w:t xml:space="preserve">. </w:t>
            </w:r>
            <w:r w:rsidR="0073292A" w:rsidRPr="0073292A">
              <w:rPr>
                <w:rFonts w:ascii="Times New Roman" w:hAnsi="Times New Roman" w:cs="Times New Roman"/>
                <w:sz w:val="24"/>
                <w:szCs w:val="24"/>
              </w:rPr>
              <w:t>Порядок ввода в эксплуатацию, пуска (включения) в работу и учета оборудования</w:t>
            </w:r>
          </w:p>
        </w:tc>
        <w:tc>
          <w:tcPr>
            <w:tcW w:w="1428" w:type="dxa"/>
          </w:tcPr>
          <w:p w:rsidR="00F10480" w:rsidRDefault="00F10480" w:rsidP="00D90E31">
            <w:pPr>
              <w:jc w:val="center"/>
              <w:rPr>
                <w:rFonts w:ascii="Times New Roman" w:hAnsi="Times New Roman" w:cs="Times New Roman"/>
                <w:b/>
                <w:sz w:val="24"/>
                <w:szCs w:val="24"/>
              </w:rPr>
            </w:pPr>
            <w:r w:rsidRPr="00AE31FE">
              <w:rPr>
                <w:rFonts w:ascii="Times New Roman" w:hAnsi="Times New Roman" w:cs="Times New Roman"/>
                <w:b/>
                <w:sz w:val="24"/>
                <w:szCs w:val="24"/>
              </w:rPr>
              <w:t>зачет</w:t>
            </w:r>
          </w:p>
        </w:tc>
      </w:tr>
      <w:tr w:rsidR="004A2D60" w:rsidTr="00F11C38">
        <w:trPr>
          <w:gridAfter w:val="1"/>
          <w:wAfter w:w="1291" w:type="dxa"/>
        </w:trPr>
        <w:tc>
          <w:tcPr>
            <w:tcW w:w="974" w:type="dxa"/>
          </w:tcPr>
          <w:p w:rsidR="0091755B" w:rsidRPr="006C1A09" w:rsidRDefault="005C67D9" w:rsidP="006C1A09">
            <w:pPr>
              <w:ind w:left="397"/>
              <w:jc w:val="center"/>
              <w:rPr>
                <w:rFonts w:ascii="Times New Roman" w:hAnsi="Times New Roman" w:cs="Times New Roman"/>
                <w:b/>
                <w:sz w:val="24"/>
                <w:szCs w:val="24"/>
              </w:rPr>
            </w:pPr>
            <w:r>
              <w:rPr>
                <w:rFonts w:ascii="Times New Roman" w:hAnsi="Times New Roman" w:cs="Times New Roman"/>
                <w:b/>
                <w:sz w:val="24"/>
                <w:szCs w:val="24"/>
              </w:rPr>
              <w:t>1.</w:t>
            </w:r>
            <w:r w:rsidR="00C123FE">
              <w:rPr>
                <w:rFonts w:ascii="Times New Roman" w:hAnsi="Times New Roman" w:cs="Times New Roman"/>
                <w:b/>
                <w:sz w:val="24"/>
                <w:szCs w:val="24"/>
              </w:rPr>
              <w:t>2.</w:t>
            </w:r>
          </w:p>
        </w:tc>
        <w:tc>
          <w:tcPr>
            <w:tcW w:w="3091" w:type="dxa"/>
          </w:tcPr>
          <w:p w:rsidR="0091755B" w:rsidRDefault="0073292A" w:rsidP="00926BD5">
            <w:pPr>
              <w:rPr>
                <w:rFonts w:ascii="Times New Roman" w:hAnsi="Times New Roman" w:cs="Times New Roman"/>
                <w:sz w:val="24"/>
                <w:szCs w:val="24"/>
              </w:rPr>
            </w:pPr>
            <w:r w:rsidRPr="0073292A">
              <w:rPr>
                <w:rFonts w:ascii="Times New Roman" w:hAnsi="Times New Roman" w:cs="Times New Roman"/>
                <w:sz w:val="24"/>
                <w:szCs w:val="24"/>
              </w:rPr>
              <w:t xml:space="preserve">Решение о вводе в эксплуатацию оборудования под давлением. Организация проведения проверок оборудования под давлением перед его вводом в эксплуатацию. Учет оборудования транспортируемых сосудов и транспортабельных котельных установок. Документация для постановки оборудования на учет в </w:t>
            </w:r>
            <w:proofErr w:type="spellStart"/>
            <w:r w:rsidRPr="0073292A">
              <w:rPr>
                <w:rFonts w:ascii="Times New Roman" w:hAnsi="Times New Roman" w:cs="Times New Roman"/>
                <w:sz w:val="24"/>
                <w:szCs w:val="24"/>
              </w:rPr>
              <w:t>Ростехнадзор</w:t>
            </w:r>
            <w:proofErr w:type="spellEnd"/>
            <w:r w:rsidRPr="0073292A">
              <w:rPr>
                <w:rFonts w:ascii="Times New Roman" w:hAnsi="Times New Roman" w:cs="Times New Roman"/>
                <w:sz w:val="24"/>
                <w:szCs w:val="24"/>
              </w:rPr>
              <w:t>. Паспорт трубопровода. Маркировка оборудования. Оценка (подтверждение) соответствия оборудования. Нормы расчета на прочность стационарных котлов и трубопроводов пара и горячей воды.</w:t>
            </w:r>
          </w:p>
        </w:tc>
        <w:tc>
          <w:tcPr>
            <w:tcW w:w="1260" w:type="dxa"/>
          </w:tcPr>
          <w:p w:rsidR="0091755B" w:rsidRDefault="007F6CE1" w:rsidP="003C0781">
            <w:pPr>
              <w:jc w:val="center"/>
              <w:rPr>
                <w:rFonts w:ascii="Times New Roman" w:hAnsi="Times New Roman" w:cs="Times New Roman"/>
                <w:b/>
                <w:sz w:val="24"/>
                <w:szCs w:val="24"/>
              </w:rPr>
            </w:pPr>
            <w:r>
              <w:rPr>
                <w:rFonts w:ascii="Times New Roman" w:hAnsi="Times New Roman" w:cs="Times New Roman"/>
                <w:b/>
                <w:sz w:val="24"/>
                <w:szCs w:val="24"/>
              </w:rPr>
              <w:t>5</w:t>
            </w:r>
          </w:p>
        </w:tc>
        <w:tc>
          <w:tcPr>
            <w:tcW w:w="1374" w:type="dxa"/>
          </w:tcPr>
          <w:p w:rsidR="0091755B" w:rsidRDefault="007F6CE1" w:rsidP="00D90E31">
            <w:pPr>
              <w:jc w:val="center"/>
              <w:rPr>
                <w:rFonts w:ascii="Times New Roman" w:hAnsi="Times New Roman" w:cs="Times New Roman"/>
                <w:b/>
                <w:sz w:val="24"/>
                <w:szCs w:val="24"/>
              </w:rPr>
            </w:pPr>
            <w:r>
              <w:rPr>
                <w:rFonts w:ascii="Times New Roman" w:hAnsi="Times New Roman" w:cs="Times New Roman"/>
                <w:b/>
                <w:sz w:val="24"/>
                <w:szCs w:val="24"/>
              </w:rPr>
              <w:t>3</w:t>
            </w:r>
          </w:p>
        </w:tc>
        <w:tc>
          <w:tcPr>
            <w:tcW w:w="1949" w:type="dxa"/>
          </w:tcPr>
          <w:p w:rsidR="0091755B" w:rsidRDefault="007F6CE1" w:rsidP="00D90E31">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28" w:type="dxa"/>
          </w:tcPr>
          <w:p w:rsidR="0091755B" w:rsidRDefault="0091755B" w:rsidP="00D90E31">
            <w:pPr>
              <w:jc w:val="center"/>
              <w:rPr>
                <w:rFonts w:ascii="Times New Roman" w:hAnsi="Times New Roman" w:cs="Times New Roman"/>
                <w:b/>
                <w:sz w:val="24"/>
                <w:szCs w:val="24"/>
              </w:rPr>
            </w:pPr>
          </w:p>
        </w:tc>
      </w:tr>
      <w:tr w:rsidR="00F10480" w:rsidTr="00F11C38">
        <w:trPr>
          <w:gridAfter w:val="1"/>
          <w:wAfter w:w="1291" w:type="dxa"/>
        </w:trPr>
        <w:tc>
          <w:tcPr>
            <w:tcW w:w="974" w:type="dxa"/>
          </w:tcPr>
          <w:p w:rsidR="00F10480" w:rsidRPr="0071303C" w:rsidRDefault="00F10480" w:rsidP="009E2D5D">
            <w:pPr>
              <w:ind w:left="397"/>
              <w:jc w:val="center"/>
              <w:rPr>
                <w:rFonts w:ascii="Times New Roman" w:hAnsi="Times New Roman" w:cs="Times New Roman"/>
                <w:b/>
                <w:sz w:val="24"/>
                <w:szCs w:val="24"/>
              </w:rPr>
            </w:pPr>
            <w:r>
              <w:rPr>
                <w:rFonts w:ascii="Times New Roman" w:hAnsi="Times New Roman" w:cs="Times New Roman"/>
                <w:b/>
                <w:sz w:val="24"/>
                <w:szCs w:val="24"/>
              </w:rPr>
              <w:t>2</w:t>
            </w:r>
            <w:r w:rsidRPr="0071303C">
              <w:rPr>
                <w:rFonts w:ascii="Times New Roman" w:hAnsi="Times New Roman" w:cs="Times New Roman"/>
                <w:b/>
                <w:sz w:val="24"/>
                <w:szCs w:val="24"/>
              </w:rPr>
              <w:t>.</w:t>
            </w:r>
          </w:p>
        </w:tc>
        <w:tc>
          <w:tcPr>
            <w:tcW w:w="7674" w:type="dxa"/>
            <w:gridSpan w:val="4"/>
          </w:tcPr>
          <w:p w:rsidR="00F10480" w:rsidRPr="00F10480" w:rsidRDefault="00F10480" w:rsidP="0073292A">
            <w:pPr>
              <w:rPr>
                <w:rFonts w:ascii="Times New Roman" w:hAnsi="Times New Roman" w:cs="Times New Roman"/>
                <w:sz w:val="24"/>
                <w:szCs w:val="24"/>
              </w:rPr>
            </w:pPr>
            <w:r w:rsidRPr="009E2D5D">
              <w:rPr>
                <w:rFonts w:ascii="Times New Roman" w:hAnsi="Times New Roman" w:cs="Times New Roman"/>
                <w:sz w:val="24"/>
                <w:szCs w:val="24"/>
              </w:rPr>
              <w:t xml:space="preserve">Тема </w:t>
            </w:r>
            <w:r>
              <w:rPr>
                <w:rFonts w:ascii="Times New Roman" w:hAnsi="Times New Roman" w:cs="Times New Roman"/>
                <w:sz w:val="24"/>
                <w:szCs w:val="24"/>
              </w:rPr>
              <w:t>2</w:t>
            </w:r>
            <w:r w:rsidRPr="009E2D5D">
              <w:rPr>
                <w:rFonts w:ascii="Times New Roman" w:hAnsi="Times New Roman" w:cs="Times New Roman"/>
                <w:sz w:val="24"/>
                <w:szCs w:val="24"/>
              </w:rPr>
              <w:t xml:space="preserve">. </w:t>
            </w:r>
            <w:r w:rsidR="0073292A" w:rsidRPr="0073292A">
              <w:rPr>
                <w:rFonts w:ascii="Times New Roman" w:hAnsi="Times New Roman" w:cs="Times New Roman"/>
                <w:sz w:val="24"/>
                <w:szCs w:val="24"/>
              </w:rPr>
              <w:t>Требования промышленной безопасности к эксплуатации оборудования, работающего под давлением</w:t>
            </w:r>
          </w:p>
        </w:tc>
        <w:tc>
          <w:tcPr>
            <w:tcW w:w="1428" w:type="dxa"/>
          </w:tcPr>
          <w:p w:rsidR="00F10480" w:rsidRPr="00AE31FE" w:rsidRDefault="00F10480" w:rsidP="00D90E31">
            <w:pPr>
              <w:jc w:val="center"/>
              <w:rPr>
                <w:rFonts w:ascii="Times New Roman" w:hAnsi="Times New Roman" w:cs="Times New Roman"/>
                <w:b/>
                <w:sz w:val="24"/>
                <w:szCs w:val="24"/>
              </w:rPr>
            </w:pPr>
            <w:r w:rsidRPr="00AE31FE">
              <w:rPr>
                <w:rFonts w:ascii="Times New Roman" w:hAnsi="Times New Roman" w:cs="Times New Roman"/>
                <w:b/>
                <w:sz w:val="24"/>
                <w:szCs w:val="24"/>
              </w:rPr>
              <w:t>зачет</w:t>
            </w:r>
          </w:p>
        </w:tc>
      </w:tr>
      <w:tr w:rsidR="006C1A09" w:rsidTr="00F11C38">
        <w:trPr>
          <w:gridAfter w:val="1"/>
          <w:wAfter w:w="1291" w:type="dxa"/>
        </w:trPr>
        <w:tc>
          <w:tcPr>
            <w:tcW w:w="974" w:type="dxa"/>
          </w:tcPr>
          <w:p w:rsidR="006C1A09" w:rsidRDefault="005C67D9" w:rsidP="006C1A09">
            <w:pPr>
              <w:ind w:left="397"/>
              <w:jc w:val="center"/>
              <w:rPr>
                <w:rFonts w:ascii="Times New Roman" w:hAnsi="Times New Roman" w:cs="Times New Roman"/>
                <w:b/>
                <w:sz w:val="24"/>
                <w:szCs w:val="24"/>
              </w:rPr>
            </w:pPr>
            <w:r>
              <w:rPr>
                <w:rFonts w:ascii="Times New Roman" w:hAnsi="Times New Roman" w:cs="Times New Roman"/>
                <w:b/>
                <w:sz w:val="24"/>
                <w:szCs w:val="24"/>
              </w:rPr>
              <w:t>2.1</w:t>
            </w:r>
            <w:r w:rsidR="0071303C">
              <w:rPr>
                <w:rFonts w:ascii="Times New Roman" w:hAnsi="Times New Roman" w:cs="Times New Roman"/>
                <w:b/>
                <w:sz w:val="24"/>
                <w:szCs w:val="24"/>
              </w:rPr>
              <w:t>.</w:t>
            </w:r>
          </w:p>
        </w:tc>
        <w:tc>
          <w:tcPr>
            <w:tcW w:w="3091" w:type="dxa"/>
          </w:tcPr>
          <w:p w:rsidR="005C67D9" w:rsidRPr="006C1A09" w:rsidRDefault="0073292A" w:rsidP="005C67D9">
            <w:pPr>
              <w:rPr>
                <w:rFonts w:ascii="Times New Roman" w:hAnsi="Times New Roman" w:cs="Times New Roman"/>
                <w:sz w:val="24"/>
                <w:szCs w:val="24"/>
              </w:rPr>
            </w:pPr>
            <w:r w:rsidRPr="0073292A">
              <w:rPr>
                <w:rFonts w:ascii="Times New Roman" w:hAnsi="Times New Roman" w:cs="Times New Roman"/>
                <w:sz w:val="24"/>
                <w:szCs w:val="24"/>
              </w:rPr>
              <w:t xml:space="preserve">Требования к организациям, осуществляющим эксплуатацию оборудования под давлением, и к работникам </w:t>
            </w:r>
            <w:r w:rsidRPr="0073292A">
              <w:rPr>
                <w:rFonts w:ascii="Times New Roman" w:hAnsi="Times New Roman" w:cs="Times New Roman"/>
                <w:sz w:val="24"/>
                <w:szCs w:val="24"/>
              </w:rPr>
              <w:lastRenderedPageBreak/>
              <w:t xml:space="preserve">этих организаций. Требования к эксплуатации котлов. Инструкции и режимные карты по ведению водно-химического режима (ВХР) и по эксплуатации водоподготовительных установок </w:t>
            </w:r>
            <w:proofErr w:type="spellStart"/>
            <w:r w:rsidRPr="0073292A">
              <w:rPr>
                <w:rFonts w:ascii="Times New Roman" w:hAnsi="Times New Roman" w:cs="Times New Roman"/>
                <w:sz w:val="24"/>
                <w:szCs w:val="24"/>
              </w:rPr>
              <w:t>докотловой</w:t>
            </w:r>
            <w:proofErr w:type="spellEnd"/>
            <w:r w:rsidRPr="0073292A">
              <w:rPr>
                <w:rFonts w:ascii="Times New Roman" w:hAnsi="Times New Roman" w:cs="Times New Roman"/>
                <w:sz w:val="24"/>
                <w:szCs w:val="24"/>
              </w:rPr>
              <w:t xml:space="preserve"> обработки воды (ВПУ). Технологическая документация. Эксплуатационные испытания (режимная наладка) котла. Порядок действий в случае аварии или инцидента при эксплуатации оборудования под давлением.</w:t>
            </w:r>
          </w:p>
        </w:tc>
        <w:tc>
          <w:tcPr>
            <w:tcW w:w="1260" w:type="dxa"/>
          </w:tcPr>
          <w:p w:rsidR="006C1A09" w:rsidRDefault="007F6CE1" w:rsidP="00F10480">
            <w:pPr>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1374" w:type="dxa"/>
          </w:tcPr>
          <w:p w:rsidR="006C1A09" w:rsidRDefault="007F6CE1" w:rsidP="00D90E31">
            <w:pPr>
              <w:jc w:val="center"/>
              <w:rPr>
                <w:rFonts w:ascii="Times New Roman" w:hAnsi="Times New Roman" w:cs="Times New Roman"/>
                <w:b/>
                <w:sz w:val="24"/>
                <w:szCs w:val="24"/>
              </w:rPr>
            </w:pPr>
            <w:r>
              <w:rPr>
                <w:rFonts w:ascii="Times New Roman" w:hAnsi="Times New Roman" w:cs="Times New Roman"/>
                <w:b/>
                <w:sz w:val="24"/>
                <w:szCs w:val="24"/>
              </w:rPr>
              <w:t>3</w:t>
            </w:r>
          </w:p>
        </w:tc>
        <w:tc>
          <w:tcPr>
            <w:tcW w:w="1949" w:type="dxa"/>
          </w:tcPr>
          <w:p w:rsidR="006C1A09" w:rsidRDefault="007F6CE1" w:rsidP="00D90E31">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28" w:type="dxa"/>
          </w:tcPr>
          <w:p w:rsidR="006C1A09" w:rsidRPr="00AE31FE" w:rsidRDefault="006C1A09" w:rsidP="00D90E31">
            <w:pPr>
              <w:jc w:val="center"/>
              <w:rPr>
                <w:rFonts w:ascii="Times New Roman" w:hAnsi="Times New Roman" w:cs="Times New Roman"/>
                <w:b/>
                <w:sz w:val="24"/>
                <w:szCs w:val="24"/>
              </w:rPr>
            </w:pPr>
          </w:p>
        </w:tc>
      </w:tr>
      <w:tr w:rsidR="00F10480" w:rsidTr="00F11C38">
        <w:trPr>
          <w:gridAfter w:val="1"/>
          <w:wAfter w:w="1291" w:type="dxa"/>
        </w:trPr>
        <w:tc>
          <w:tcPr>
            <w:tcW w:w="974" w:type="dxa"/>
          </w:tcPr>
          <w:p w:rsidR="00F10480" w:rsidRDefault="00F10480" w:rsidP="006C1A09">
            <w:pPr>
              <w:ind w:left="397"/>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7674" w:type="dxa"/>
            <w:gridSpan w:val="4"/>
          </w:tcPr>
          <w:p w:rsidR="00F10480" w:rsidRDefault="00F10480" w:rsidP="0073292A">
            <w:pPr>
              <w:jc w:val="center"/>
              <w:rPr>
                <w:rFonts w:ascii="Times New Roman" w:hAnsi="Times New Roman" w:cs="Times New Roman"/>
                <w:b/>
                <w:sz w:val="24"/>
                <w:szCs w:val="24"/>
              </w:rPr>
            </w:pPr>
            <w:r w:rsidRPr="0071303C">
              <w:rPr>
                <w:rFonts w:ascii="Times New Roman" w:hAnsi="Times New Roman" w:cs="Times New Roman"/>
                <w:sz w:val="24"/>
                <w:szCs w:val="24"/>
              </w:rPr>
              <w:t xml:space="preserve">Тема </w:t>
            </w:r>
            <w:r>
              <w:rPr>
                <w:rFonts w:ascii="Times New Roman" w:hAnsi="Times New Roman" w:cs="Times New Roman"/>
                <w:sz w:val="24"/>
                <w:szCs w:val="24"/>
              </w:rPr>
              <w:t>3</w:t>
            </w:r>
            <w:r w:rsidRPr="0071303C">
              <w:rPr>
                <w:rFonts w:ascii="Times New Roman" w:hAnsi="Times New Roman" w:cs="Times New Roman"/>
                <w:sz w:val="24"/>
                <w:szCs w:val="24"/>
              </w:rPr>
              <w:t xml:space="preserve">. </w:t>
            </w:r>
            <w:r w:rsidR="0073292A" w:rsidRPr="0073292A">
              <w:rPr>
                <w:rFonts w:ascii="Times New Roman" w:hAnsi="Times New Roman" w:cs="Times New Roman"/>
                <w:sz w:val="24"/>
                <w:szCs w:val="24"/>
              </w:rPr>
              <w:t>Техническое освидетельствование, экспертиза промышленной безопасности, техническое диагностирование оборудования под давлением</w:t>
            </w:r>
          </w:p>
        </w:tc>
        <w:tc>
          <w:tcPr>
            <w:tcW w:w="1428" w:type="dxa"/>
          </w:tcPr>
          <w:p w:rsidR="00F10480" w:rsidRPr="00AE31FE" w:rsidRDefault="00F10480" w:rsidP="00D90E31">
            <w:pPr>
              <w:jc w:val="center"/>
              <w:rPr>
                <w:rFonts w:ascii="Times New Roman" w:hAnsi="Times New Roman" w:cs="Times New Roman"/>
                <w:b/>
                <w:sz w:val="24"/>
                <w:szCs w:val="24"/>
              </w:rPr>
            </w:pPr>
            <w:r w:rsidRPr="00AE31FE">
              <w:rPr>
                <w:rFonts w:ascii="Times New Roman" w:hAnsi="Times New Roman" w:cs="Times New Roman"/>
                <w:b/>
                <w:sz w:val="24"/>
                <w:szCs w:val="24"/>
              </w:rPr>
              <w:t>зачет</w:t>
            </w:r>
          </w:p>
        </w:tc>
      </w:tr>
      <w:tr w:rsidR="00CA1388" w:rsidTr="00F11C38">
        <w:trPr>
          <w:gridAfter w:val="1"/>
          <w:wAfter w:w="1291" w:type="dxa"/>
        </w:trPr>
        <w:tc>
          <w:tcPr>
            <w:tcW w:w="974" w:type="dxa"/>
          </w:tcPr>
          <w:p w:rsidR="00CA1388" w:rsidRDefault="00EA2A55" w:rsidP="006C1A09">
            <w:pPr>
              <w:ind w:left="397"/>
              <w:jc w:val="center"/>
              <w:rPr>
                <w:rFonts w:ascii="Times New Roman" w:hAnsi="Times New Roman" w:cs="Times New Roman"/>
                <w:b/>
                <w:sz w:val="24"/>
                <w:szCs w:val="24"/>
              </w:rPr>
            </w:pPr>
            <w:r>
              <w:rPr>
                <w:rFonts w:ascii="Times New Roman" w:hAnsi="Times New Roman" w:cs="Times New Roman"/>
                <w:b/>
                <w:sz w:val="24"/>
                <w:szCs w:val="24"/>
              </w:rPr>
              <w:t>3.1</w:t>
            </w:r>
            <w:r w:rsidR="00CA1388">
              <w:rPr>
                <w:rFonts w:ascii="Times New Roman" w:hAnsi="Times New Roman" w:cs="Times New Roman"/>
                <w:b/>
                <w:sz w:val="24"/>
                <w:szCs w:val="24"/>
              </w:rPr>
              <w:t xml:space="preserve">. </w:t>
            </w:r>
          </w:p>
        </w:tc>
        <w:tc>
          <w:tcPr>
            <w:tcW w:w="3091" w:type="dxa"/>
          </w:tcPr>
          <w:p w:rsidR="00CA1388" w:rsidRPr="00CA1388" w:rsidRDefault="005F419D" w:rsidP="008B139B">
            <w:pPr>
              <w:rPr>
                <w:rFonts w:ascii="Times New Roman" w:hAnsi="Times New Roman" w:cs="Times New Roman"/>
                <w:sz w:val="24"/>
                <w:szCs w:val="24"/>
              </w:rPr>
            </w:pPr>
            <w:r w:rsidRPr="005F419D">
              <w:rPr>
                <w:rFonts w:ascii="Times New Roman" w:hAnsi="Times New Roman" w:cs="Times New Roman"/>
                <w:sz w:val="24"/>
                <w:szCs w:val="24"/>
              </w:rPr>
              <w:t>Документация для технического освидетельствования котлов. Проведение первичного технического освидетельствования специалистами эксплуатирующей организации. Периодичность проведения технического освидетельствования котлов. Техническое освидетельствование котлов. Техническое диагностирование оборудования под давлением. Обеспечение безопасности оборудования при разработке (проектировании), изготовлении (производстве). Оценка риска для идентифицированных видов опасности. Правила обращения на рынке Таможенного союза.</w:t>
            </w:r>
          </w:p>
        </w:tc>
        <w:tc>
          <w:tcPr>
            <w:tcW w:w="1260" w:type="dxa"/>
          </w:tcPr>
          <w:p w:rsidR="00CA1388" w:rsidRDefault="007F6CE1" w:rsidP="003C0781">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74" w:type="dxa"/>
          </w:tcPr>
          <w:p w:rsidR="00CA1388" w:rsidRDefault="007F6CE1" w:rsidP="00F10480">
            <w:pPr>
              <w:jc w:val="center"/>
              <w:rPr>
                <w:rFonts w:ascii="Times New Roman" w:hAnsi="Times New Roman" w:cs="Times New Roman"/>
                <w:b/>
                <w:sz w:val="24"/>
                <w:szCs w:val="24"/>
              </w:rPr>
            </w:pPr>
            <w:r>
              <w:rPr>
                <w:rFonts w:ascii="Times New Roman" w:hAnsi="Times New Roman" w:cs="Times New Roman"/>
                <w:b/>
                <w:sz w:val="24"/>
                <w:szCs w:val="24"/>
              </w:rPr>
              <w:t>3</w:t>
            </w:r>
          </w:p>
        </w:tc>
        <w:tc>
          <w:tcPr>
            <w:tcW w:w="1949" w:type="dxa"/>
          </w:tcPr>
          <w:p w:rsidR="00CA1388" w:rsidRDefault="007F6CE1" w:rsidP="00D90E31">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28" w:type="dxa"/>
          </w:tcPr>
          <w:p w:rsidR="00CA1388" w:rsidRPr="00AE31FE" w:rsidRDefault="00CA1388" w:rsidP="00D90E31">
            <w:pPr>
              <w:jc w:val="center"/>
              <w:rPr>
                <w:rFonts w:ascii="Times New Roman" w:hAnsi="Times New Roman" w:cs="Times New Roman"/>
                <w:b/>
                <w:sz w:val="24"/>
                <w:szCs w:val="24"/>
              </w:rPr>
            </w:pPr>
          </w:p>
        </w:tc>
      </w:tr>
      <w:tr w:rsidR="00F11C38" w:rsidTr="00F11C38">
        <w:trPr>
          <w:gridAfter w:val="1"/>
          <w:wAfter w:w="1291" w:type="dxa"/>
        </w:trPr>
        <w:tc>
          <w:tcPr>
            <w:tcW w:w="974" w:type="dxa"/>
          </w:tcPr>
          <w:p w:rsidR="00F11C38" w:rsidRDefault="00F11C38" w:rsidP="006C1A09">
            <w:pPr>
              <w:ind w:left="397"/>
              <w:jc w:val="center"/>
              <w:rPr>
                <w:rFonts w:ascii="Times New Roman" w:hAnsi="Times New Roman" w:cs="Times New Roman"/>
                <w:b/>
                <w:sz w:val="24"/>
                <w:szCs w:val="24"/>
              </w:rPr>
            </w:pPr>
          </w:p>
        </w:tc>
        <w:tc>
          <w:tcPr>
            <w:tcW w:w="7674" w:type="dxa"/>
            <w:gridSpan w:val="4"/>
          </w:tcPr>
          <w:p w:rsidR="00F11C38" w:rsidRDefault="00F11C38" w:rsidP="00D90E31">
            <w:pPr>
              <w:jc w:val="center"/>
              <w:rPr>
                <w:rFonts w:ascii="Times New Roman" w:hAnsi="Times New Roman" w:cs="Times New Roman"/>
                <w:b/>
                <w:sz w:val="24"/>
                <w:szCs w:val="24"/>
              </w:rPr>
            </w:pPr>
            <w:r w:rsidRPr="00F11C38">
              <w:rPr>
                <w:rFonts w:ascii="Times New Roman" w:hAnsi="Times New Roman" w:cs="Times New Roman"/>
                <w:sz w:val="24"/>
                <w:szCs w:val="24"/>
              </w:rPr>
              <w:t>Тема 4. Дополнительные требования безопасности к эксплуатации оборудования, работающего под избыточным давлением</w:t>
            </w:r>
          </w:p>
        </w:tc>
        <w:tc>
          <w:tcPr>
            <w:tcW w:w="1428" w:type="dxa"/>
          </w:tcPr>
          <w:p w:rsidR="00F11C38" w:rsidRPr="00AE31FE" w:rsidRDefault="00067422" w:rsidP="00D90E31">
            <w:pPr>
              <w:jc w:val="center"/>
              <w:rPr>
                <w:rFonts w:ascii="Times New Roman" w:hAnsi="Times New Roman" w:cs="Times New Roman"/>
                <w:b/>
                <w:sz w:val="24"/>
                <w:szCs w:val="24"/>
              </w:rPr>
            </w:pPr>
            <w:r w:rsidRPr="00AE31FE">
              <w:rPr>
                <w:rFonts w:ascii="Times New Roman" w:hAnsi="Times New Roman" w:cs="Times New Roman"/>
                <w:b/>
                <w:sz w:val="24"/>
                <w:szCs w:val="24"/>
              </w:rPr>
              <w:t>зачет</w:t>
            </w:r>
          </w:p>
        </w:tc>
      </w:tr>
      <w:tr w:rsidR="00F11C38" w:rsidTr="00F11C38">
        <w:trPr>
          <w:trHeight w:val="415"/>
        </w:trPr>
        <w:tc>
          <w:tcPr>
            <w:tcW w:w="974" w:type="dxa"/>
          </w:tcPr>
          <w:p w:rsidR="00F11C38" w:rsidRDefault="00067422" w:rsidP="00F11C38">
            <w:pPr>
              <w:ind w:left="397"/>
              <w:jc w:val="center"/>
              <w:rPr>
                <w:rFonts w:ascii="Times New Roman" w:hAnsi="Times New Roman" w:cs="Times New Roman"/>
                <w:b/>
                <w:sz w:val="24"/>
                <w:szCs w:val="24"/>
              </w:rPr>
            </w:pPr>
            <w:r>
              <w:rPr>
                <w:rFonts w:ascii="Times New Roman" w:hAnsi="Times New Roman" w:cs="Times New Roman"/>
                <w:b/>
                <w:sz w:val="24"/>
                <w:szCs w:val="24"/>
              </w:rPr>
              <w:t>4.1</w:t>
            </w:r>
          </w:p>
        </w:tc>
        <w:tc>
          <w:tcPr>
            <w:tcW w:w="3091" w:type="dxa"/>
          </w:tcPr>
          <w:p w:rsidR="00F11C38" w:rsidRPr="00F11C38" w:rsidRDefault="00F11C38" w:rsidP="00775D4E">
            <w:pPr>
              <w:ind w:left="-94" w:firstLine="491"/>
              <w:rPr>
                <w:rFonts w:ascii="Times New Roman" w:hAnsi="Times New Roman" w:cs="Times New Roman"/>
                <w:sz w:val="24"/>
                <w:szCs w:val="24"/>
              </w:rPr>
            </w:pPr>
            <w:r w:rsidRPr="00F11C38">
              <w:rPr>
                <w:rFonts w:ascii="Times New Roman" w:hAnsi="Times New Roman" w:cs="Times New Roman"/>
                <w:sz w:val="24"/>
                <w:szCs w:val="24"/>
              </w:rPr>
              <w:t>Требования к арматуре котла, работающего с высокотемпературными органическими и неорганическими теплоносителями. Указатели уровня жидкости. Предохранительные клапаны. Установка питательных насосов. Дополнительные требования к эксплуатации и обслуживанию котлов. Дополнительные требования к эксплуатации содорегенерационных котлов. Дополнительные требования к эксплуатации электрических котлов. Эксплуатация водоподготовительной установки.</w:t>
            </w:r>
          </w:p>
        </w:tc>
        <w:tc>
          <w:tcPr>
            <w:tcW w:w="1260" w:type="dxa"/>
          </w:tcPr>
          <w:p w:rsidR="00F11C38" w:rsidRDefault="007F6CE1" w:rsidP="00F11C38">
            <w:pPr>
              <w:rPr>
                <w:rFonts w:ascii="Times New Roman" w:hAnsi="Times New Roman" w:cs="Times New Roman"/>
                <w:sz w:val="24"/>
                <w:szCs w:val="24"/>
              </w:rPr>
            </w:pPr>
            <w:r>
              <w:rPr>
                <w:rFonts w:ascii="Times New Roman" w:hAnsi="Times New Roman" w:cs="Times New Roman"/>
                <w:sz w:val="24"/>
                <w:szCs w:val="24"/>
              </w:rPr>
              <w:t>6</w:t>
            </w:r>
          </w:p>
        </w:tc>
        <w:tc>
          <w:tcPr>
            <w:tcW w:w="1374"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949"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28" w:type="dxa"/>
          </w:tcPr>
          <w:p w:rsidR="00F11C38" w:rsidRDefault="00F11C38" w:rsidP="00F11C38">
            <w:pPr>
              <w:jc w:val="center"/>
              <w:rPr>
                <w:rFonts w:ascii="Times New Roman" w:hAnsi="Times New Roman" w:cs="Times New Roman"/>
                <w:b/>
                <w:sz w:val="24"/>
                <w:szCs w:val="24"/>
              </w:rPr>
            </w:pPr>
          </w:p>
        </w:tc>
        <w:tc>
          <w:tcPr>
            <w:tcW w:w="1291" w:type="dxa"/>
          </w:tcPr>
          <w:p w:rsidR="00F11C38" w:rsidRPr="00AE31FE" w:rsidRDefault="00F11C38" w:rsidP="00F11C38">
            <w:pPr>
              <w:jc w:val="center"/>
              <w:rPr>
                <w:rFonts w:ascii="Times New Roman" w:hAnsi="Times New Roman" w:cs="Times New Roman"/>
                <w:b/>
                <w:sz w:val="24"/>
                <w:szCs w:val="24"/>
              </w:rPr>
            </w:pPr>
          </w:p>
        </w:tc>
      </w:tr>
      <w:tr w:rsidR="00067422" w:rsidTr="00067422">
        <w:trPr>
          <w:gridAfter w:val="1"/>
          <w:wAfter w:w="1291" w:type="dxa"/>
          <w:trHeight w:val="415"/>
        </w:trPr>
        <w:tc>
          <w:tcPr>
            <w:tcW w:w="974" w:type="dxa"/>
          </w:tcPr>
          <w:p w:rsidR="00067422" w:rsidRDefault="00067422" w:rsidP="00F11C38">
            <w:pPr>
              <w:ind w:left="397"/>
              <w:jc w:val="center"/>
              <w:rPr>
                <w:rFonts w:ascii="Times New Roman" w:hAnsi="Times New Roman" w:cs="Times New Roman"/>
                <w:b/>
                <w:sz w:val="24"/>
                <w:szCs w:val="24"/>
              </w:rPr>
            </w:pPr>
            <w:r>
              <w:rPr>
                <w:rFonts w:ascii="Times New Roman" w:hAnsi="Times New Roman" w:cs="Times New Roman"/>
                <w:b/>
                <w:sz w:val="24"/>
                <w:szCs w:val="24"/>
              </w:rPr>
              <w:t>5.</w:t>
            </w:r>
          </w:p>
        </w:tc>
        <w:tc>
          <w:tcPr>
            <w:tcW w:w="7674" w:type="dxa"/>
            <w:gridSpan w:val="4"/>
          </w:tcPr>
          <w:p w:rsidR="00067422" w:rsidRPr="00F11C38" w:rsidRDefault="00067422" w:rsidP="00F11C38">
            <w:pPr>
              <w:jc w:val="center"/>
              <w:rPr>
                <w:rFonts w:ascii="Times New Roman" w:hAnsi="Times New Roman" w:cs="Times New Roman"/>
                <w:sz w:val="24"/>
                <w:szCs w:val="24"/>
              </w:rPr>
            </w:pPr>
            <w:r w:rsidRPr="00F11C38">
              <w:rPr>
                <w:rFonts w:ascii="Times New Roman" w:hAnsi="Times New Roman" w:cs="Times New Roman"/>
                <w:sz w:val="24"/>
                <w:szCs w:val="24"/>
              </w:rPr>
              <w:t>Тема 5. Требования промышленной безопасности к размещению котлов</w:t>
            </w:r>
          </w:p>
        </w:tc>
        <w:tc>
          <w:tcPr>
            <w:tcW w:w="1428" w:type="dxa"/>
          </w:tcPr>
          <w:p w:rsidR="00067422" w:rsidRPr="00F11C38" w:rsidRDefault="00067422" w:rsidP="00F11C38">
            <w:pPr>
              <w:jc w:val="center"/>
              <w:rPr>
                <w:rFonts w:ascii="Times New Roman" w:hAnsi="Times New Roman" w:cs="Times New Roman"/>
                <w:sz w:val="24"/>
                <w:szCs w:val="24"/>
              </w:rPr>
            </w:pPr>
            <w:r w:rsidRPr="00AE31FE">
              <w:rPr>
                <w:rFonts w:ascii="Times New Roman" w:hAnsi="Times New Roman" w:cs="Times New Roman"/>
                <w:b/>
                <w:sz w:val="24"/>
                <w:szCs w:val="24"/>
              </w:rPr>
              <w:t>зачет</w:t>
            </w:r>
          </w:p>
        </w:tc>
      </w:tr>
      <w:tr w:rsidR="00F11C38" w:rsidTr="00F11C38">
        <w:trPr>
          <w:gridAfter w:val="1"/>
          <w:wAfter w:w="1291" w:type="dxa"/>
          <w:trHeight w:val="415"/>
        </w:trPr>
        <w:tc>
          <w:tcPr>
            <w:tcW w:w="974" w:type="dxa"/>
          </w:tcPr>
          <w:p w:rsidR="00F11C38" w:rsidRDefault="00067422" w:rsidP="00F11C38">
            <w:pPr>
              <w:ind w:left="397"/>
              <w:jc w:val="center"/>
              <w:rPr>
                <w:rFonts w:ascii="Times New Roman" w:hAnsi="Times New Roman" w:cs="Times New Roman"/>
                <w:b/>
                <w:sz w:val="24"/>
                <w:szCs w:val="24"/>
              </w:rPr>
            </w:pPr>
            <w:r>
              <w:rPr>
                <w:rFonts w:ascii="Times New Roman" w:hAnsi="Times New Roman" w:cs="Times New Roman"/>
                <w:b/>
                <w:sz w:val="24"/>
                <w:szCs w:val="24"/>
              </w:rPr>
              <w:t>5.1</w:t>
            </w:r>
          </w:p>
        </w:tc>
        <w:tc>
          <w:tcPr>
            <w:tcW w:w="3091" w:type="dxa"/>
          </w:tcPr>
          <w:p w:rsidR="00F11C38" w:rsidRDefault="00775D4E" w:rsidP="00F11C38">
            <w:pPr>
              <w:rPr>
                <w:rFonts w:ascii="Times New Roman" w:hAnsi="Times New Roman" w:cs="Times New Roman"/>
                <w:sz w:val="24"/>
                <w:szCs w:val="24"/>
              </w:rPr>
            </w:pPr>
            <w:r w:rsidRPr="00775D4E">
              <w:rPr>
                <w:rFonts w:ascii="Times New Roman" w:hAnsi="Times New Roman" w:cs="Times New Roman"/>
                <w:sz w:val="24"/>
                <w:szCs w:val="24"/>
              </w:rPr>
              <w:t>Установка котлов внутри производственных помещений. Обустройство площадок для установки котлов. Аварийное электрическое освещение. Параметры расстояний при установке котлов. Установка подъемных устройств. Установка запорной арматуры. Системы трубопроводов. Предохранительные устройства на паровых и водогрейных котлах. Средства измерения величины температуры питательной воды. Ширина проходов между котлами и стенами котельного помещения. Размещение вспомогательного оборудования котельной установки. Питание котлов. Требования к насосам для водогрейных котлов.</w:t>
            </w:r>
          </w:p>
        </w:tc>
        <w:tc>
          <w:tcPr>
            <w:tcW w:w="1260"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74" w:type="dxa"/>
          </w:tcPr>
          <w:p w:rsidR="00F11C38" w:rsidRDefault="007F6CE1" w:rsidP="00F11C3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3</w:t>
            </w:r>
          </w:p>
        </w:tc>
        <w:tc>
          <w:tcPr>
            <w:tcW w:w="1949"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28" w:type="dxa"/>
          </w:tcPr>
          <w:p w:rsidR="00F11C38" w:rsidRPr="00AE31FE" w:rsidRDefault="00F11C38" w:rsidP="00F11C38">
            <w:pPr>
              <w:jc w:val="center"/>
              <w:rPr>
                <w:rFonts w:ascii="Times New Roman" w:hAnsi="Times New Roman" w:cs="Times New Roman"/>
                <w:b/>
                <w:sz w:val="24"/>
                <w:szCs w:val="24"/>
              </w:rPr>
            </w:pPr>
          </w:p>
        </w:tc>
      </w:tr>
      <w:tr w:rsidR="00775D4E" w:rsidTr="000F5180">
        <w:trPr>
          <w:gridAfter w:val="1"/>
          <w:wAfter w:w="1291" w:type="dxa"/>
          <w:trHeight w:val="415"/>
        </w:trPr>
        <w:tc>
          <w:tcPr>
            <w:tcW w:w="974" w:type="dxa"/>
          </w:tcPr>
          <w:p w:rsidR="00775D4E" w:rsidRDefault="00775D4E" w:rsidP="00F11C38">
            <w:pPr>
              <w:ind w:left="397"/>
              <w:jc w:val="center"/>
              <w:rPr>
                <w:rFonts w:ascii="Times New Roman" w:hAnsi="Times New Roman" w:cs="Times New Roman"/>
                <w:b/>
                <w:sz w:val="24"/>
                <w:szCs w:val="24"/>
              </w:rPr>
            </w:pPr>
          </w:p>
        </w:tc>
        <w:tc>
          <w:tcPr>
            <w:tcW w:w="7674" w:type="dxa"/>
            <w:gridSpan w:val="4"/>
          </w:tcPr>
          <w:p w:rsidR="00775D4E" w:rsidRPr="00435A8A" w:rsidRDefault="00435A8A" w:rsidP="00F11C38">
            <w:pPr>
              <w:jc w:val="center"/>
              <w:rPr>
                <w:rFonts w:ascii="Times New Roman" w:hAnsi="Times New Roman" w:cs="Times New Roman"/>
                <w:sz w:val="24"/>
                <w:szCs w:val="24"/>
              </w:rPr>
            </w:pPr>
            <w:r w:rsidRPr="00435A8A">
              <w:rPr>
                <w:rFonts w:ascii="Times New Roman" w:hAnsi="Times New Roman" w:cs="Times New Roman"/>
                <w:sz w:val="24"/>
                <w:szCs w:val="24"/>
              </w:rPr>
              <w:t>Тема 6. Требования промышленной безопасности к монтажу, ремонту, реконструкции (модернизации) и наладке оборудования под давлением</w:t>
            </w:r>
          </w:p>
        </w:tc>
        <w:tc>
          <w:tcPr>
            <w:tcW w:w="1428" w:type="dxa"/>
          </w:tcPr>
          <w:p w:rsidR="00775D4E" w:rsidRPr="00AE31FE" w:rsidRDefault="00775D4E" w:rsidP="00F11C38">
            <w:pPr>
              <w:jc w:val="center"/>
              <w:rPr>
                <w:rFonts w:ascii="Times New Roman" w:hAnsi="Times New Roman" w:cs="Times New Roman"/>
                <w:b/>
                <w:sz w:val="24"/>
                <w:szCs w:val="24"/>
              </w:rPr>
            </w:pPr>
          </w:p>
        </w:tc>
      </w:tr>
      <w:tr w:rsidR="00F11C38" w:rsidTr="00F11C38">
        <w:trPr>
          <w:gridAfter w:val="1"/>
          <w:wAfter w:w="1291" w:type="dxa"/>
          <w:trHeight w:val="415"/>
        </w:trPr>
        <w:tc>
          <w:tcPr>
            <w:tcW w:w="974" w:type="dxa"/>
          </w:tcPr>
          <w:p w:rsidR="00F11C38" w:rsidRDefault="00067422" w:rsidP="00F11C38">
            <w:pPr>
              <w:ind w:left="397"/>
              <w:jc w:val="center"/>
              <w:rPr>
                <w:rFonts w:ascii="Times New Roman" w:hAnsi="Times New Roman" w:cs="Times New Roman"/>
                <w:b/>
                <w:sz w:val="24"/>
                <w:szCs w:val="24"/>
              </w:rPr>
            </w:pPr>
            <w:r>
              <w:rPr>
                <w:rFonts w:ascii="Times New Roman" w:hAnsi="Times New Roman" w:cs="Times New Roman"/>
                <w:b/>
                <w:sz w:val="24"/>
                <w:szCs w:val="24"/>
              </w:rPr>
              <w:t>6.1</w:t>
            </w:r>
          </w:p>
        </w:tc>
        <w:tc>
          <w:tcPr>
            <w:tcW w:w="3091" w:type="dxa"/>
          </w:tcPr>
          <w:p w:rsidR="00F11C38" w:rsidRDefault="00435A8A" w:rsidP="00F11C38">
            <w:pPr>
              <w:rPr>
                <w:rFonts w:ascii="Times New Roman" w:hAnsi="Times New Roman" w:cs="Times New Roman"/>
                <w:sz w:val="24"/>
                <w:szCs w:val="24"/>
              </w:rPr>
            </w:pPr>
            <w:r w:rsidRPr="00435A8A">
              <w:rPr>
                <w:rFonts w:ascii="Times New Roman" w:hAnsi="Times New Roman" w:cs="Times New Roman"/>
                <w:sz w:val="24"/>
                <w:szCs w:val="24"/>
              </w:rPr>
              <w:t>Использование материалов, ранее бывших в употреблении. Требования к организациям, осуществляющим монтаж, ремонт, реконструкцию (модернизацию), наладку оборудования, и к работникам этих организаций. Контроль качества сварных соединений и металла оборудования. Требования к наладке. Механические и гидравлические (пневматические) испытания. Порядок проведения пусконаладочных работ. Исследование микроструктуры металла. Контроль за соблюдением требований технологической документации.</w:t>
            </w:r>
          </w:p>
        </w:tc>
        <w:tc>
          <w:tcPr>
            <w:tcW w:w="1260"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74"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949"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28" w:type="dxa"/>
          </w:tcPr>
          <w:p w:rsidR="00F11C38" w:rsidRPr="00AE31FE" w:rsidRDefault="00F11C38" w:rsidP="00F11C38">
            <w:pPr>
              <w:jc w:val="center"/>
              <w:rPr>
                <w:rFonts w:ascii="Times New Roman" w:hAnsi="Times New Roman" w:cs="Times New Roman"/>
                <w:b/>
                <w:sz w:val="24"/>
                <w:szCs w:val="24"/>
              </w:rPr>
            </w:pPr>
          </w:p>
        </w:tc>
      </w:tr>
      <w:tr w:rsidR="00067422" w:rsidTr="00DB684A">
        <w:trPr>
          <w:gridAfter w:val="1"/>
          <w:wAfter w:w="1291" w:type="dxa"/>
          <w:trHeight w:val="449"/>
        </w:trPr>
        <w:tc>
          <w:tcPr>
            <w:tcW w:w="974" w:type="dxa"/>
          </w:tcPr>
          <w:p w:rsidR="00067422" w:rsidRDefault="00067422" w:rsidP="00F11C38">
            <w:pPr>
              <w:ind w:left="397"/>
              <w:jc w:val="center"/>
              <w:rPr>
                <w:rFonts w:ascii="Times New Roman" w:hAnsi="Times New Roman" w:cs="Times New Roman"/>
                <w:b/>
                <w:sz w:val="24"/>
                <w:szCs w:val="24"/>
              </w:rPr>
            </w:pPr>
            <w:r>
              <w:rPr>
                <w:rFonts w:ascii="Times New Roman" w:hAnsi="Times New Roman" w:cs="Times New Roman"/>
                <w:b/>
                <w:sz w:val="24"/>
                <w:szCs w:val="24"/>
              </w:rPr>
              <w:t>7.</w:t>
            </w:r>
          </w:p>
        </w:tc>
        <w:tc>
          <w:tcPr>
            <w:tcW w:w="3091" w:type="dxa"/>
          </w:tcPr>
          <w:p w:rsidR="00067422" w:rsidRPr="00435A8A" w:rsidRDefault="00067422" w:rsidP="00F11C38">
            <w:pPr>
              <w:rPr>
                <w:rFonts w:ascii="Times New Roman" w:hAnsi="Times New Roman" w:cs="Times New Roman"/>
                <w:sz w:val="24"/>
                <w:szCs w:val="24"/>
              </w:rPr>
            </w:pPr>
            <w:r>
              <w:rPr>
                <w:rFonts w:ascii="Times New Roman" w:hAnsi="Times New Roman" w:cs="Times New Roman"/>
                <w:sz w:val="24"/>
                <w:szCs w:val="24"/>
              </w:rPr>
              <w:t>Итоговая аттестация</w:t>
            </w:r>
          </w:p>
        </w:tc>
        <w:tc>
          <w:tcPr>
            <w:tcW w:w="1260" w:type="dxa"/>
          </w:tcPr>
          <w:p w:rsidR="00067422"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74" w:type="dxa"/>
          </w:tcPr>
          <w:p w:rsidR="00067422" w:rsidRDefault="00067422" w:rsidP="00F11C38">
            <w:pPr>
              <w:jc w:val="center"/>
              <w:rPr>
                <w:rFonts w:ascii="Times New Roman" w:hAnsi="Times New Roman" w:cs="Times New Roman"/>
                <w:b/>
                <w:sz w:val="24"/>
                <w:szCs w:val="24"/>
              </w:rPr>
            </w:pPr>
          </w:p>
        </w:tc>
        <w:tc>
          <w:tcPr>
            <w:tcW w:w="1949" w:type="dxa"/>
          </w:tcPr>
          <w:p w:rsidR="00067422" w:rsidRDefault="00067422" w:rsidP="00F11C38">
            <w:pPr>
              <w:jc w:val="center"/>
              <w:rPr>
                <w:rFonts w:ascii="Times New Roman" w:hAnsi="Times New Roman" w:cs="Times New Roman"/>
                <w:b/>
                <w:sz w:val="24"/>
                <w:szCs w:val="24"/>
              </w:rPr>
            </w:pPr>
          </w:p>
        </w:tc>
        <w:tc>
          <w:tcPr>
            <w:tcW w:w="1428" w:type="dxa"/>
          </w:tcPr>
          <w:p w:rsidR="00067422" w:rsidRPr="00AE31FE" w:rsidRDefault="00067422" w:rsidP="00F11C38">
            <w:pPr>
              <w:jc w:val="center"/>
              <w:rPr>
                <w:rFonts w:ascii="Times New Roman" w:hAnsi="Times New Roman" w:cs="Times New Roman"/>
                <w:b/>
                <w:sz w:val="24"/>
                <w:szCs w:val="24"/>
              </w:rPr>
            </w:pPr>
            <w:r w:rsidRPr="00AE31FE">
              <w:rPr>
                <w:rFonts w:ascii="Times New Roman" w:hAnsi="Times New Roman" w:cs="Times New Roman"/>
                <w:b/>
                <w:sz w:val="24"/>
                <w:szCs w:val="24"/>
              </w:rPr>
              <w:t>зачет</w:t>
            </w:r>
          </w:p>
        </w:tc>
      </w:tr>
      <w:tr w:rsidR="00F11C38" w:rsidTr="00F11C38">
        <w:trPr>
          <w:gridAfter w:val="1"/>
          <w:wAfter w:w="1291" w:type="dxa"/>
        </w:trPr>
        <w:tc>
          <w:tcPr>
            <w:tcW w:w="974" w:type="dxa"/>
          </w:tcPr>
          <w:p w:rsidR="00F11C38" w:rsidRPr="003269C5" w:rsidRDefault="00067422" w:rsidP="00F11C38">
            <w:pPr>
              <w:ind w:left="397"/>
              <w:jc w:val="center"/>
              <w:rPr>
                <w:rFonts w:ascii="Times New Roman" w:hAnsi="Times New Roman" w:cs="Times New Roman"/>
                <w:b/>
                <w:sz w:val="24"/>
                <w:szCs w:val="24"/>
              </w:rPr>
            </w:pPr>
            <w:r>
              <w:rPr>
                <w:rFonts w:ascii="Times New Roman" w:hAnsi="Times New Roman" w:cs="Times New Roman"/>
                <w:b/>
                <w:sz w:val="24"/>
                <w:szCs w:val="24"/>
              </w:rPr>
              <w:t>8</w:t>
            </w:r>
            <w:r w:rsidR="00F11C38">
              <w:rPr>
                <w:rFonts w:ascii="Times New Roman" w:hAnsi="Times New Roman" w:cs="Times New Roman"/>
                <w:b/>
                <w:sz w:val="24"/>
                <w:szCs w:val="24"/>
              </w:rPr>
              <w:t>.</w:t>
            </w:r>
          </w:p>
        </w:tc>
        <w:tc>
          <w:tcPr>
            <w:tcW w:w="3091" w:type="dxa"/>
          </w:tcPr>
          <w:p w:rsidR="00F11C38" w:rsidRDefault="00F11C38" w:rsidP="00F11C38">
            <w:pPr>
              <w:rPr>
                <w:rFonts w:ascii="Times New Roman" w:hAnsi="Times New Roman" w:cs="Times New Roman"/>
                <w:sz w:val="24"/>
                <w:szCs w:val="24"/>
              </w:rPr>
            </w:pPr>
            <w:r w:rsidRPr="00AE31FE">
              <w:rPr>
                <w:rFonts w:ascii="Times New Roman" w:hAnsi="Times New Roman" w:cs="Times New Roman"/>
                <w:sz w:val="24"/>
                <w:szCs w:val="24"/>
              </w:rPr>
              <w:t>Всего:</w:t>
            </w:r>
          </w:p>
        </w:tc>
        <w:tc>
          <w:tcPr>
            <w:tcW w:w="1260" w:type="dxa"/>
          </w:tcPr>
          <w:p w:rsidR="00F11C38" w:rsidRDefault="007F6CE1" w:rsidP="00F11C38">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74" w:type="dxa"/>
          </w:tcPr>
          <w:p w:rsidR="00F11C38" w:rsidRDefault="007F6CE1" w:rsidP="00DB684A">
            <w:pPr>
              <w:jc w:val="center"/>
              <w:rPr>
                <w:rFonts w:ascii="Times New Roman" w:hAnsi="Times New Roman" w:cs="Times New Roman"/>
                <w:b/>
                <w:sz w:val="24"/>
                <w:szCs w:val="24"/>
              </w:rPr>
            </w:pPr>
            <w:r>
              <w:rPr>
                <w:rFonts w:ascii="Times New Roman" w:hAnsi="Times New Roman" w:cs="Times New Roman"/>
                <w:b/>
                <w:sz w:val="24"/>
                <w:szCs w:val="24"/>
              </w:rPr>
              <w:t>1</w:t>
            </w:r>
            <w:r w:rsidR="00DB684A">
              <w:rPr>
                <w:rFonts w:ascii="Times New Roman" w:hAnsi="Times New Roman" w:cs="Times New Roman"/>
                <w:b/>
                <w:sz w:val="24"/>
                <w:szCs w:val="24"/>
              </w:rPr>
              <w:t>9</w:t>
            </w:r>
          </w:p>
        </w:tc>
        <w:tc>
          <w:tcPr>
            <w:tcW w:w="1949" w:type="dxa"/>
          </w:tcPr>
          <w:p w:rsidR="00F11C38" w:rsidRDefault="00DB684A" w:rsidP="00F11C38">
            <w:pPr>
              <w:jc w:val="center"/>
              <w:rPr>
                <w:rFonts w:ascii="Times New Roman" w:hAnsi="Times New Roman" w:cs="Times New Roman"/>
                <w:b/>
                <w:sz w:val="24"/>
                <w:szCs w:val="24"/>
              </w:rPr>
            </w:pPr>
            <w:r>
              <w:rPr>
                <w:rFonts w:ascii="Times New Roman" w:hAnsi="Times New Roman" w:cs="Times New Roman"/>
                <w:b/>
                <w:sz w:val="24"/>
                <w:szCs w:val="24"/>
              </w:rPr>
              <w:t>17</w:t>
            </w:r>
          </w:p>
        </w:tc>
        <w:tc>
          <w:tcPr>
            <w:tcW w:w="1428" w:type="dxa"/>
          </w:tcPr>
          <w:p w:rsidR="00F11C38" w:rsidRDefault="00F11C38" w:rsidP="00F11C38">
            <w:pPr>
              <w:jc w:val="center"/>
              <w:rPr>
                <w:rFonts w:ascii="Times New Roman" w:hAnsi="Times New Roman" w:cs="Times New Roman"/>
                <w:b/>
                <w:sz w:val="24"/>
                <w:szCs w:val="24"/>
              </w:rPr>
            </w:pPr>
          </w:p>
        </w:tc>
      </w:tr>
    </w:tbl>
    <w:p w:rsidR="00E27EAC" w:rsidRPr="00E27EAC" w:rsidRDefault="00E27EAC" w:rsidP="003269C5">
      <w:pPr>
        <w:rPr>
          <w:rFonts w:ascii="Times New Roman" w:hAnsi="Times New Roman" w:cs="Times New Roman"/>
          <w:b/>
          <w:sz w:val="24"/>
          <w:szCs w:val="24"/>
        </w:rPr>
      </w:pPr>
    </w:p>
    <w:sectPr w:rsidR="00E27EAC" w:rsidRPr="00E27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46E95"/>
    <w:multiLevelType w:val="hybridMultilevel"/>
    <w:tmpl w:val="47283204"/>
    <w:lvl w:ilvl="0" w:tplc="0419000F">
      <w:start w:val="1"/>
      <w:numFmt w:val="decimal"/>
      <w:lvlText w:val="%1."/>
      <w:lvlJc w:val="left"/>
      <w:pPr>
        <w:ind w:left="75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0E7520"/>
    <w:multiLevelType w:val="multilevel"/>
    <w:tmpl w:val="23D27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AC"/>
    <w:rsid w:val="0000469B"/>
    <w:rsid w:val="00033957"/>
    <w:rsid w:val="00052AFF"/>
    <w:rsid w:val="00064887"/>
    <w:rsid w:val="00067422"/>
    <w:rsid w:val="00071AAB"/>
    <w:rsid w:val="00091B33"/>
    <w:rsid w:val="000A51C4"/>
    <w:rsid w:val="000B3F31"/>
    <w:rsid w:val="001271DC"/>
    <w:rsid w:val="00156FCA"/>
    <w:rsid w:val="001802DC"/>
    <w:rsid w:val="00203EEA"/>
    <w:rsid w:val="00241152"/>
    <w:rsid w:val="0027575C"/>
    <w:rsid w:val="002F4278"/>
    <w:rsid w:val="003269C5"/>
    <w:rsid w:val="00354D16"/>
    <w:rsid w:val="0039006F"/>
    <w:rsid w:val="0039566F"/>
    <w:rsid w:val="003C0781"/>
    <w:rsid w:val="0040278C"/>
    <w:rsid w:val="00407207"/>
    <w:rsid w:val="00427DA3"/>
    <w:rsid w:val="00435A8A"/>
    <w:rsid w:val="00467CF7"/>
    <w:rsid w:val="004A2D60"/>
    <w:rsid w:val="004B465D"/>
    <w:rsid w:val="004B765D"/>
    <w:rsid w:val="00505012"/>
    <w:rsid w:val="00515B5A"/>
    <w:rsid w:val="00543687"/>
    <w:rsid w:val="005B5DD3"/>
    <w:rsid w:val="005C67D9"/>
    <w:rsid w:val="005E7800"/>
    <w:rsid w:val="005F419D"/>
    <w:rsid w:val="006356B2"/>
    <w:rsid w:val="00676F78"/>
    <w:rsid w:val="006954DE"/>
    <w:rsid w:val="006B1BB9"/>
    <w:rsid w:val="006C1A09"/>
    <w:rsid w:val="006D6DB7"/>
    <w:rsid w:val="006E509F"/>
    <w:rsid w:val="0071303C"/>
    <w:rsid w:val="0073292A"/>
    <w:rsid w:val="007759C7"/>
    <w:rsid w:val="00775D4E"/>
    <w:rsid w:val="007D74DA"/>
    <w:rsid w:val="007F58D4"/>
    <w:rsid w:val="007F6CE1"/>
    <w:rsid w:val="0081608D"/>
    <w:rsid w:val="00816E4C"/>
    <w:rsid w:val="00863376"/>
    <w:rsid w:val="008A0F2D"/>
    <w:rsid w:val="008B139B"/>
    <w:rsid w:val="008B6064"/>
    <w:rsid w:val="008C55DE"/>
    <w:rsid w:val="00913BA5"/>
    <w:rsid w:val="0091755B"/>
    <w:rsid w:val="00926BD5"/>
    <w:rsid w:val="009543A7"/>
    <w:rsid w:val="009649CD"/>
    <w:rsid w:val="009E2D5D"/>
    <w:rsid w:val="009F75DB"/>
    <w:rsid w:val="00A160CE"/>
    <w:rsid w:val="00A55E71"/>
    <w:rsid w:val="00AE31FE"/>
    <w:rsid w:val="00AF1460"/>
    <w:rsid w:val="00B3148B"/>
    <w:rsid w:val="00B36F3A"/>
    <w:rsid w:val="00BB30B4"/>
    <w:rsid w:val="00C123FE"/>
    <w:rsid w:val="00C1536B"/>
    <w:rsid w:val="00CA1388"/>
    <w:rsid w:val="00CC351A"/>
    <w:rsid w:val="00CC4B49"/>
    <w:rsid w:val="00D05617"/>
    <w:rsid w:val="00D15007"/>
    <w:rsid w:val="00D85CA6"/>
    <w:rsid w:val="00D90E31"/>
    <w:rsid w:val="00DB684A"/>
    <w:rsid w:val="00E27EAC"/>
    <w:rsid w:val="00E64219"/>
    <w:rsid w:val="00EA2A55"/>
    <w:rsid w:val="00EC0C46"/>
    <w:rsid w:val="00EC286E"/>
    <w:rsid w:val="00EF24FF"/>
    <w:rsid w:val="00F10480"/>
    <w:rsid w:val="00F11C38"/>
    <w:rsid w:val="00F13857"/>
    <w:rsid w:val="00F54FD1"/>
    <w:rsid w:val="00FA5624"/>
    <w:rsid w:val="00FD3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7CD5C-9E02-43E5-B7F2-BEBBBD50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1755B"/>
    <w:pPr>
      <w:ind w:left="720"/>
      <w:contextualSpacing/>
    </w:pPr>
  </w:style>
  <w:style w:type="character" w:styleId="a5">
    <w:name w:val="Strong"/>
    <w:basedOn w:val="a0"/>
    <w:uiPriority w:val="22"/>
    <w:qFormat/>
    <w:rsid w:val="006C1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07685">
      <w:bodyDiv w:val="1"/>
      <w:marLeft w:val="0"/>
      <w:marRight w:val="0"/>
      <w:marTop w:val="0"/>
      <w:marBottom w:val="0"/>
      <w:divBdr>
        <w:top w:val="none" w:sz="0" w:space="0" w:color="auto"/>
        <w:left w:val="none" w:sz="0" w:space="0" w:color="auto"/>
        <w:bottom w:val="none" w:sz="0" w:space="0" w:color="auto"/>
        <w:right w:val="none" w:sz="0" w:space="0" w:color="auto"/>
      </w:divBdr>
    </w:div>
    <w:div w:id="1597397204">
      <w:bodyDiv w:val="1"/>
      <w:marLeft w:val="0"/>
      <w:marRight w:val="0"/>
      <w:marTop w:val="0"/>
      <w:marBottom w:val="0"/>
      <w:divBdr>
        <w:top w:val="none" w:sz="0" w:space="0" w:color="auto"/>
        <w:left w:val="none" w:sz="0" w:space="0" w:color="auto"/>
        <w:bottom w:val="none" w:sz="0" w:space="0" w:color="auto"/>
        <w:right w:val="none" w:sz="0" w:space="0" w:color="auto"/>
      </w:divBdr>
    </w:div>
    <w:div w:id="19812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Елена</dc:creator>
  <cp:keywords/>
  <dc:description/>
  <cp:lastModifiedBy>Власенко Елена</cp:lastModifiedBy>
  <cp:revision>9</cp:revision>
  <dcterms:created xsi:type="dcterms:W3CDTF">2025-04-25T08:40:00Z</dcterms:created>
  <dcterms:modified xsi:type="dcterms:W3CDTF">2025-04-25T08:52:00Z</dcterms:modified>
</cp:coreProperties>
</file>